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AF2C3" w14:textId="16C6BC0F" w:rsidR="001D2C18" w:rsidRPr="001D2C18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ID"/>
        </w:rPr>
      </w:pPr>
      <w:r w:rsidRPr="001D2C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ID"/>
        </w:rPr>
        <w:t>TINJAUAN PUSTAKA</w:t>
      </w:r>
    </w:p>
    <w:p w14:paraId="12230F7D" w14:textId="02477909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Penyaluran</w:t>
      </w:r>
      <w:proofErr w:type="spellEnd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Kredit</w:t>
      </w:r>
      <w:proofErr w:type="spellEnd"/>
    </w:p>
    <w:p w14:paraId="6615DA04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en-ID"/>
        </w:rPr>
        <w:t xml:space="preserve">Credere 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berasal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dari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bahasa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latin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dikenal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memiliki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arti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percaya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Maksudnya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percaya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disini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yaitu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pelaku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pemberi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percaya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kepada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pelaku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penerima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bahwa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disalurkan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pasti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dikembalikan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sesuai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perjanjian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Pengertian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menurut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Undang-Undang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Perbankan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No 10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Tahun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1998,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yaitu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penyediaan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uang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tagihan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dipersamakan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itu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berdasarkan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persetujuan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kesepakatan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pinjam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meminjam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antara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pihak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lain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mewajibkan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pihak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peminjam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melunasi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utangnya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setelah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jangka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waktu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tertentu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pemberian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bunga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Rumus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penyaluran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yaitu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: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Jumlah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Umum pada Akhir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Periode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Tahunan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</w:p>
    <w:p w14:paraId="6F59C0B7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61431095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Non-Performing Loan (NPL)</w:t>
      </w:r>
    </w:p>
    <w:p w14:paraId="64E017BE" w14:textId="77777777" w:rsidR="001D2C18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Non-Performing Loan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NPL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diartikan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tahap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pengembalian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 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dialokasikan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kepada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oleh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deposan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NPL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diartikan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macet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ingginya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NPL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menyebabkan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besarnya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risiko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ditanggung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oleh bank,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sebaliknya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apabila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NPL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rendah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kecil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risiko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ditanggung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oleh bank. 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Rumus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menghitung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NPL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berikut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:</w:t>
      </w:r>
    </w:p>
    <w:p w14:paraId="03FBB848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AD956FA" w14:textId="77777777" w:rsidR="001D2C18" w:rsidRPr="007E571A" w:rsidRDefault="001D2C18" w:rsidP="001D2C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NPL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32"/>
                <w:szCs w:val="32"/>
                <w:lang w:eastAsia="en-ID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32"/>
                <w:szCs w:val="32"/>
                <w:lang w:eastAsia="en-ID"/>
              </w:rPr>
              <m:t>Kredit Bermasalah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32"/>
                <w:szCs w:val="32"/>
                <w:lang w:eastAsia="en-ID"/>
              </w:rPr>
              <m:t>Total Kredit</m:t>
            </m:r>
          </m:den>
        </m:f>
        <m:r>
          <w:rPr>
            <w:rFonts w:ascii="Cambria Math" w:eastAsia="Times New Roman" w:hAnsi="Cambria Math" w:cs="Times New Roman"/>
            <w:color w:val="111111"/>
            <w:sz w:val="32"/>
            <w:szCs w:val="32"/>
            <w:lang w:eastAsia="en-ID"/>
          </w:rPr>
          <m:t xml:space="preserve"> </m:t>
        </m:r>
      </m:oMath>
      <w:r w:rsidRPr="007E571A">
        <w:rPr>
          <w:rFonts w:ascii="Times New Roman" w:eastAsia="Times New Roman" w:hAnsi="Times New Roman" w:cs="Times New Roman"/>
          <w:color w:val="111111"/>
          <w:sz w:val="28"/>
          <w:szCs w:val="28"/>
          <w:lang w:eastAsia="en-ID"/>
        </w:rPr>
        <w:t xml:space="preserve"> </w:t>
      </w:r>
      <w:r w:rsidRPr="004F2036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x 100%</w:t>
      </w:r>
    </w:p>
    <w:p w14:paraId="2EEAB732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7D82D519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Loan to Deposit Ratio (LDR) </w:t>
      </w:r>
    </w:p>
    <w:p w14:paraId="1F361B6B" w14:textId="77777777" w:rsidR="001D2C18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Loan to Deposit Ratio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LDR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merupakan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rasio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perbandingan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antara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total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disalurkan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dana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diterima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Rasio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ini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digunakan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indikator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untuk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menilai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likuiditas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bank.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tingginya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LDR,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menyebabkan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tidak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likuid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sebaliknya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apabila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LDR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rendah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menyebabkan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likuid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.</w:t>
      </w:r>
      <w:r w:rsidRPr="007E571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Rumus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digunakan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untuk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menghitung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LDR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adalah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berikut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:</w:t>
      </w:r>
    </w:p>
    <w:p w14:paraId="79C68ABF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0C5A80A" w14:textId="77777777" w:rsidR="001D2C18" w:rsidRPr="007E571A" w:rsidRDefault="001D2C18" w:rsidP="001D2C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LDR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32"/>
                <w:szCs w:val="32"/>
                <w:lang w:eastAsia="en-ID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32"/>
                <w:szCs w:val="32"/>
                <w:lang w:eastAsia="en-ID"/>
              </w:rPr>
              <m:t>Total Kredit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32"/>
                <w:szCs w:val="32"/>
                <w:lang w:eastAsia="en-ID"/>
              </w:rPr>
              <m:t>Dana Pihak Ketiga</m:t>
            </m:r>
          </m:den>
        </m:f>
        <m:r>
          <w:rPr>
            <w:rFonts w:ascii="Cambria Math" w:eastAsia="Times New Roman" w:hAnsi="Cambria Math" w:cs="Times New Roman"/>
            <w:color w:val="111111"/>
            <w:sz w:val="32"/>
            <w:szCs w:val="32"/>
            <w:lang w:eastAsia="en-ID"/>
          </w:rPr>
          <m:t xml:space="preserve"> </m:t>
        </m:r>
      </m:oMath>
      <w:r w:rsidRPr="007E571A">
        <w:rPr>
          <w:rFonts w:ascii="Times New Roman" w:eastAsia="Times New Roman" w:hAnsi="Times New Roman" w:cs="Times New Roman"/>
          <w:color w:val="111111"/>
          <w:sz w:val="28"/>
          <w:szCs w:val="28"/>
          <w:lang w:eastAsia="en-ID"/>
        </w:rPr>
        <w:t xml:space="preserve"> </w:t>
      </w:r>
      <w:r w:rsidRPr="004F2036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x 100%</w:t>
      </w:r>
    </w:p>
    <w:p w14:paraId="49CC5BC7" w14:textId="77777777" w:rsidR="001D2C18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3FE9BA75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Return on Asset (ROA)</w:t>
      </w:r>
    </w:p>
    <w:p w14:paraId="04A2FA31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Return on Asset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ROA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merupakan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rasio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digunakan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untuk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mengukur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kemampuan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manajemen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dalam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memperoleh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keuntungan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atau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laba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keseluruhan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.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Apabila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nilai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ROA pada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suatu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besar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menyebabkan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besar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pula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keuntungan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diperoleh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tersebut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dan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baik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pula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posisi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tersebut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dari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penggunaan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aset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sebaliknya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apabila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nilai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ROA pada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suatu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rendah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maka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menyebabkan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semakin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rendahnya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tingkat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keuntungan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diperoleh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bank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tersebut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.</w:t>
      </w:r>
    </w:p>
    <w:p w14:paraId="7B64DB8D" w14:textId="77777777" w:rsidR="001D2C18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Rumus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menghitung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ROA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berikut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:</w:t>
      </w:r>
    </w:p>
    <w:p w14:paraId="6747A170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2093136" w14:textId="77777777" w:rsidR="001D2C18" w:rsidRPr="007E571A" w:rsidRDefault="001D2C18" w:rsidP="001D2C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ROA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32"/>
                <w:szCs w:val="32"/>
                <w:lang w:eastAsia="en-ID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32"/>
                <w:szCs w:val="32"/>
                <w:lang w:eastAsia="en-ID"/>
              </w:rPr>
              <m:t>Laba Sebelum Pajak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32"/>
                <w:szCs w:val="32"/>
                <w:lang w:eastAsia="en-ID"/>
              </w:rPr>
              <m:t>Total Aset</m:t>
            </m:r>
          </m:den>
        </m:f>
      </m:oMath>
    </w:p>
    <w:p w14:paraId="75B1B131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3CE79711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lastRenderedPageBreak/>
        <w:t>Penelitian</w:t>
      </w:r>
      <w:proofErr w:type="spellEnd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Sebelumnya</w:t>
      </w:r>
      <w:proofErr w:type="spellEnd"/>
    </w:p>
    <w:p w14:paraId="1B9B412B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terdaulu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umpulan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dari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hasil-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hasil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telah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dilakukan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oleh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para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terdahulu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berkaitan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dengan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yang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dilakukan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saat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ini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erikut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hasil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penelitian-penelitian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terdahulu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tabel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1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:</w:t>
      </w:r>
    </w:p>
    <w:p w14:paraId="2E1FC7DE" w14:textId="77777777" w:rsidR="001D2C18" w:rsidRPr="007E571A" w:rsidRDefault="001D2C18" w:rsidP="001D2C1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Tabel 1. </w:t>
      </w: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Terdahulu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166"/>
        <w:gridCol w:w="1588"/>
        <w:gridCol w:w="1947"/>
        <w:gridCol w:w="2250"/>
        <w:gridCol w:w="1581"/>
      </w:tblGrid>
      <w:tr w:rsidR="001D2C18" w:rsidRPr="007E571A" w14:paraId="13F423D1" w14:textId="77777777" w:rsidTr="00CF7682">
        <w:trPr>
          <w:trHeight w:val="10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360CC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54115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Nama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Peneliti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EADB4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Judul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A9B99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Metode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001D0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Hasil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28279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Perbedaan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Persamaan</w:t>
            </w:r>
            <w:proofErr w:type="spellEnd"/>
          </w:p>
        </w:tc>
      </w:tr>
      <w:tr w:rsidR="001D2C18" w:rsidRPr="007E571A" w14:paraId="5FDA8E08" w14:textId="77777777" w:rsidTr="00CF7682">
        <w:trPr>
          <w:trHeight w:val="31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C3D2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B204A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Onny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Setyawan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(2016)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277EB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DPK, CAR, NPL, ROA, SBI dan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Pertumbuhan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Ekonomi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Penyaluran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Perbankan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Bank Umum Yang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Terdaftar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Bursa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Efek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Indonesia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F65B0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Analisis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deskriptif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uji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asumsi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klasik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uji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hipotesis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CD952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Hasil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 DPK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. CAR, NPL, ROA, SBI, dan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Pertumbuhan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Ekonomi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tidak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9E419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Perbedaan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:</w:t>
            </w:r>
          </w:p>
          <w:p w14:paraId="0CE06D99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(X1) DPK, (X2) CAR, (X5) SBI, dan (X6)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Pertumbuhan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Ekonomi</w:t>
            </w:r>
            <w:proofErr w:type="spellEnd"/>
          </w:p>
          <w:p w14:paraId="18D94A3F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Persamaan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:</w:t>
            </w:r>
          </w:p>
          <w:p w14:paraId="6302072F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(Y)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Penyaluran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, (X3) NPL, dan (X4) ROA</w:t>
            </w:r>
          </w:p>
        </w:tc>
      </w:tr>
      <w:tr w:rsidR="001D2C18" w:rsidRPr="007E571A" w14:paraId="4D0AF427" w14:textId="77777777" w:rsidTr="001D2C18">
        <w:trPr>
          <w:trHeight w:val="45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7C1B0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E75A6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Yua Molek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Winarti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Putri, Alien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Akmalia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(2016)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42CAF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CAR, NPL, ROA dan LDR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Penyaluran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Perbankan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(Studi Pada Perusahaan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Perbankan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Listed di Bursa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Efek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Indonesia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Periode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2011-2015)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30514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 xml:space="preserve">Uji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asumsi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klasik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Analisis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regresi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linier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berganda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67907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Hasil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CAR dan ROA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positif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Penyaluran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perbankan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NPL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negatif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Penyaluran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perbankan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LDR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tidak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Penyaluran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perbankan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DD430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Perbedaan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:</w:t>
            </w:r>
          </w:p>
          <w:p w14:paraId="6D021CB0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(X1) CAR</w:t>
            </w:r>
          </w:p>
          <w:p w14:paraId="05137152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Persamaan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:</w:t>
            </w:r>
          </w:p>
          <w:p w14:paraId="55EF011F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(Y)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Rentabilitas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, (X2) NPL, (X3) ROA, dan (X4) LDR</w:t>
            </w:r>
          </w:p>
        </w:tc>
      </w:tr>
      <w:tr w:rsidR="001D2C18" w:rsidRPr="007E571A" w14:paraId="1DD47828" w14:textId="77777777" w:rsidTr="00CF7682">
        <w:trPr>
          <w:trHeight w:val="539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5599B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B5631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Aida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Fitria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Masyhad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Siti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Rosyafah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(2017)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66933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DPK, CAR, NPL dan LDR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Pemberian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(Studi Pada Bank Umum Yang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Terdaftar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Bursa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Efek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Indonesia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Tahun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2013-2015)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E835F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Uji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asumsi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klasik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uji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statistik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proofErr w:type="gram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deskriptif,analisis</w:t>
            </w:r>
            <w:proofErr w:type="spellEnd"/>
            <w:proofErr w:type="gram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regresi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linier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berganda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uji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hipotesis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2B60B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Hasil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Dana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Pihak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Ketiga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Capital Adequacy Ratio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positif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pemberian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bank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umum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. Non-Performing Loan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tidak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Loan to Deposit Ratio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berpengaruh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negatif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signifikan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Pemberian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bank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umum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985D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Perbedaan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:</w:t>
            </w:r>
          </w:p>
          <w:p w14:paraId="5B6815DA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(X1) DPK, dan (X2) CAR </w:t>
            </w:r>
          </w:p>
          <w:p w14:paraId="431B45F4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Persamaan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:</w:t>
            </w:r>
          </w:p>
          <w:p w14:paraId="085781DA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(Y)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Pemberian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Kredit</w:t>
            </w:r>
            <w:proofErr w:type="spellEnd"/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, (X3) NPL, dan (X4) LDR</w:t>
            </w:r>
          </w:p>
          <w:p w14:paraId="201D445D" w14:textId="77777777" w:rsidR="001D2C18" w:rsidRPr="007E571A" w:rsidRDefault="001D2C18" w:rsidP="00CF76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7E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7B125E3C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Sumber</w:t>
      </w:r>
      <w:proofErr w:type="spellEnd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Dikaji</w:t>
      </w:r>
      <w:proofErr w:type="spellEnd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berbagai</w:t>
      </w:r>
      <w:proofErr w:type="spellEnd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sumber</w:t>
      </w:r>
      <w:proofErr w:type="spellEnd"/>
      <w:r w:rsidRPr="007E571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2021</w:t>
      </w:r>
    </w:p>
    <w:p w14:paraId="0AB61D7C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197CD464" w14:textId="732231D1" w:rsidR="001D2C18" w:rsidRPr="007E571A" w:rsidRDefault="001D2C18" w:rsidP="001D2C18">
      <w:pPr>
        <w:spacing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Kerangka</w:t>
      </w:r>
      <w:proofErr w:type="spellEnd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Pemikiran</w:t>
      </w:r>
      <w:proofErr w:type="spellEnd"/>
    </w:p>
    <w:p w14:paraId="64ECADF5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n-ID"/>
        </w:rPr>
        <w:drawing>
          <wp:anchor distT="0" distB="0" distL="114300" distR="114300" simplePos="0" relativeHeight="251659264" behindDoc="0" locked="0" layoutInCell="1" allowOverlap="1" wp14:anchorId="7F12E437" wp14:editId="12CA0872">
            <wp:simplePos x="0" y="0"/>
            <wp:positionH relativeFrom="margin">
              <wp:posOffset>790575</wp:posOffset>
            </wp:positionH>
            <wp:positionV relativeFrom="paragraph">
              <wp:posOffset>173355</wp:posOffset>
            </wp:positionV>
            <wp:extent cx="4453890" cy="2870835"/>
            <wp:effectExtent l="0" t="0" r="381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9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A8198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67AA8C24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14CF3ED0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6DA95D18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15655004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6ABB6B50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3310CF4E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26EDA4C0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05D6232F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031075DB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2985F361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2D69926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4DBE072B" w14:textId="77777777" w:rsidR="001D2C18" w:rsidRPr="007E571A" w:rsidRDefault="001D2C18" w:rsidP="001D2C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E25D796" w14:textId="77777777" w:rsidR="001D2C18" w:rsidRDefault="001D2C18" w:rsidP="001D2C1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5CCC5C99" w14:textId="77777777" w:rsidR="001D2C18" w:rsidRDefault="001D2C18" w:rsidP="001D2C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</w:pPr>
    </w:p>
    <w:p w14:paraId="270941E2" w14:textId="77777777" w:rsidR="001D2C18" w:rsidRPr="007E571A" w:rsidRDefault="001D2C18" w:rsidP="001D2C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 xml:space="preserve">Gambar 1. </w:t>
      </w: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Kerangka</w:t>
      </w:r>
      <w:proofErr w:type="spellEnd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D"/>
        </w:rPr>
        <w:t>Pemikiran</w:t>
      </w:r>
      <w:proofErr w:type="spellEnd"/>
    </w:p>
    <w:p w14:paraId="29314EF3" w14:textId="77777777" w:rsidR="001D2C18" w:rsidRPr="007E571A" w:rsidRDefault="001D2C18" w:rsidP="001D2C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Sumber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: Kajian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, 2021</w:t>
      </w:r>
    </w:p>
    <w:p w14:paraId="63AE7D91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</w:pPr>
    </w:p>
    <w:p w14:paraId="381413D8" w14:textId="77777777" w:rsidR="001D2C18" w:rsidRPr="007E571A" w:rsidRDefault="001D2C18" w:rsidP="001D2C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Berdasarkan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Kerangka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Pemikiran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diatas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,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hipotesis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penelitian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sebagai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berikut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:</w:t>
      </w:r>
    </w:p>
    <w:p w14:paraId="754A1C15" w14:textId="77777777" w:rsidR="001D2C18" w:rsidRPr="007E571A" w:rsidRDefault="001D2C18" w:rsidP="001D2C1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H1: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pengaruh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antara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NPL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terhadap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Penyaluran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pada Bank Umum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Konvensional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 di Bursa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Efek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Indonesia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periode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2018-2020</w:t>
      </w:r>
    </w:p>
    <w:p w14:paraId="372450EF" w14:textId="77777777" w:rsidR="001D2C18" w:rsidRPr="007E571A" w:rsidRDefault="001D2C18" w:rsidP="001D2C1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H2: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pengaruh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antara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LDR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terhadap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Penyaluran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pada Bank Umum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Konvensional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di Bursa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Efek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Indonesia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periode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2018-2020</w:t>
      </w:r>
    </w:p>
    <w:p w14:paraId="0741ABAE" w14:textId="77777777" w:rsidR="001D2C18" w:rsidRPr="007E571A" w:rsidRDefault="001D2C18" w:rsidP="001D2C1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H3:</w:t>
      </w:r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ab/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pengaruh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antara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ROA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terhadap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Penyaluran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pada Bank Umum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Konvensional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di Bursa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Efek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Indonesia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periode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2018-2020 </w:t>
      </w:r>
    </w:p>
    <w:p w14:paraId="7D63F74B" w14:textId="77777777" w:rsidR="001D2C18" w:rsidRPr="007E571A" w:rsidRDefault="001D2C18" w:rsidP="001D2C1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E571A">
        <w:rPr>
          <w:rFonts w:ascii="Times New Roman" w:eastAsia="Times New Roman" w:hAnsi="Times New Roman" w:cs="Times New Roman"/>
          <w:sz w:val="24"/>
          <w:szCs w:val="24"/>
          <w:lang w:eastAsia="en-ID"/>
        </w:rPr>
        <w:t>H4:</w:t>
      </w:r>
      <w:r w:rsidRPr="007E571A"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Terdapat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pengaruh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antara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NPL, LDR dan ROA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terhadap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Penyaluran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Kredit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pada Bank Umum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Konvensional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di Bursa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Efek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Indonesia </w:t>
      </w:r>
      <w:proofErr w:type="spellStart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>periode</w:t>
      </w:r>
      <w:proofErr w:type="spellEnd"/>
      <w:r w:rsidRPr="007E571A">
        <w:rPr>
          <w:rFonts w:ascii="Times New Roman" w:eastAsia="Times New Roman" w:hAnsi="Times New Roman" w:cs="Times New Roman"/>
          <w:color w:val="111111"/>
          <w:sz w:val="24"/>
          <w:szCs w:val="24"/>
          <w:lang w:eastAsia="en-ID"/>
        </w:rPr>
        <w:t xml:space="preserve"> 2018-2020</w:t>
      </w:r>
    </w:p>
    <w:p w14:paraId="6395AD9B" w14:textId="77777777" w:rsidR="001D2C18" w:rsidRDefault="001D2C18"/>
    <w:sectPr w:rsidR="001D2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18"/>
    <w:rsid w:val="001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B56"/>
  <w15:chartTrackingRefBased/>
  <w15:docId w15:val="{F62EA3F7-4541-4195-8F2E-86034FCD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Ester S</dc:creator>
  <cp:keywords/>
  <dc:description/>
  <cp:lastModifiedBy>Eveline Ester S</cp:lastModifiedBy>
  <cp:revision>1</cp:revision>
  <dcterms:created xsi:type="dcterms:W3CDTF">2021-07-12T10:36:00Z</dcterms:created>
  <dcterms:modified xsi:type="dcterms:W3CDTF">2021-07-12T10:38:00Z</dcterms:modified>
</cp:coreProperties>
</file>